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4472C4"/>
          <w:sz w:val="36"/>
          <w:szCs w:val="36"/>
        </w:rPr>
      </w:pPr>
      <w:r>
        <w:rPr>
          <w:b/>
          <w:color w:val="4472C4"/>
          <w:sz w:val="36"/>
          <w:szCs w:val="36"/>
        </w:rPr>
        <w:t>САМЫЙ ЧИТАЮЩИЙ РЕГИОН</w:t>
      </w:r>
    </w:p>
    <w:p>
      <w:pPr>
        <w:pStyle w:val="Normal"/>
        <w:rPr>
          <w:sz w:val="28"/>
          <w:szCs w:val="28"/>
        </w:rPr>
      </w:pPr>
      <w:r>
        <w:rPr>
          <w:b/>
          <w:color w:val="4472C4"/>
          <w:sz w:val="36"/>
          <w:szCs w:val="36"/>
        </w:rPr>
        <w:t xml:space="preserve">Анкета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Субъект РФ: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2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324"/>
      </w:tblGrid>
      <w:tr>
        <w:trPr/>
        <w:tc>
          <w:tcPr>
            <w:tcW w:w="10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Должность уполномоченного лица, ответственного за предоставление данных на конкурс: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ФИО и контакты (телефон,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>) уполномоченного лица, ответственного за предоставление данных на конкурс: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97" w:type="dxa"/>
        <w:jc w:val="left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2"/>
        <w:gridCol w:w="5264"/>
      </w:tblGrid>
      <w:tr>
        <w:trPr/>
        <w:tc>
          <w:tcPr>
            <w:tcW w:w="5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61" w:type="dxa"/>
        <w:jc w:val="left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61"/>
      </w:tblGrid>
      <w:tr>
        <w:trPr/>
        <w:tc>
          <w:tcPr>
            <w:tcW w:w="10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jc w:val="center"/>
              <w:rPr>
                <w:b/>
                <w:b/>
                <w:bCs/>
                <w:color w:val="004586"/>
                <w:sz w:val="28"/>
                <w:szCs w:val="28"/>
              </w:rPr>
            </w:pPr>
            <w:r>
              <w:rPr>
                <w:b/>
                <w:bCs/>
                <w:color w:val="004586"/>
                <w:sz w:val="28"/>
                <w:szCs w:val="28"/>
              </w:rPr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>
                <w:b/>
                <w:bCs/>
                <w:color w:val="4472C4"/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color w:val="4472C4"/>
                <w:sz w:val="32"/>
                <w:szCs w:val="32"/>
              </w:rPr>
              <w:t>. Инфраструктура книги и чтения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color w:val="4472C4"/>
          <w:sz w:val="32"/>
          <w:szCs w:val="32"/>
          <w:u w:val="single"/>
        </w:rPr>
        <w:t>1. Библиотеки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1.1. Количество общедоступных библиотек в регионе на июнь 2021 года,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665" w:right="5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1.2. Количество открытых/закрытых/модернизированных библиотек в регионе за 2020/2021 гг.,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1.3. Охват населения библиотечным обслуживанием по состоянию на июнь 2021 года, % НАСЕЛЕНИЯ </w:t>
      </w:r>
    </w:p>
    <w:p>
      <w:pPr>
        <w:pStyle w:val="Normal"/>
        <w:ind w:left="709" w:hanging="0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1.4. Количество и доля в процентах общедоступных библиотек в регионе с доступом в интернет для посетителей по состоянию на июнь 2021 года, ЕДИНИЦ / (%)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1418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Количество публичных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мероприятий (книжные выставки, встречи с читателями, выездные мероприятия и т. д.), проведенных общедоступными библиотеками региона, и количество человек, посетивших эти мероприятия, ЕДИНИЦ/ЧЕЛОВЕК: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количество мероприятий за январь-декабрь 2020 года и количество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посетителей (суммарно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мероприятия муниципального и регионального уровней</w:t>
      </w:r>
      <w:r>
        <w:rPr>
          <w:sz w:val="28"/>
          <w:szCs w:val="28"/>
        </w:rPr>
        <w:t>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1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64"/>
        <w:gridCol w:w="4956"/>
      </w:tblGrid>
      <w:tr>
        <w:trPr/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количество мероприятий за январь-август 2021 года и количество 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посетителей (суммарно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мероприятия муниципального и регионального уровней</w:t>
      </w:r>
      <w:r>
        <w:rPr>
          <w:sz w:val="28"/>
          <w:szCs w:val="28"/>
        </w:rPr>
        <w:t>)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1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49"/>
        <w:gridCol w:w="4971"/>
      </w:tblGrid>
      <w:tr>
        <w:trPr/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709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  <w:shd w:fill="FFFF00" w:val="clear"/>
        </w:rPr>
      </w:pPr>
      <w:r>
        <w:rPr>
          <w:sz w:val="28"/>
          <w:szCs w:val="28"/>
        </w:rPr>
        <w:t xml:space="preserve">1.6.  Количество общедоступных библиотек региона, имеющих удаленные читальные залы федеральных, электронных библиотечных ресурсов (НЭБ, ПБ), ЕДИНИЦ  </w:t>
      </w:r>
    </w:p>
    <w:p>
      <w:pPr>
        <w:pStyle w:val="Normal"/>
        <w:ind w:left="709" w:hanging="0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color w:val="004586"/>
          <w:sz w:val="32"/>
          <w:szCs w:val="32"/>
          <w:u w:val="single"/>
        </w:rPr>
        <w:t>2. Книготорговля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</w:rPr>
      </w:pPr>
      <w:r>
        <w:rPr>
          <w:sz w:val="28"/>
          <w:szCs w:val="28"/>
        </w:rPr>
        <w:t xml:space="preserve">2.1. Общее количество объектов торговли в регионе с присутствием книг в ассортименте по состоянию </w:t>
      </w:r>
      <w:r>
        <w:rPr>
          <w:b w:val="false"/>
          <w:bCs w:val="false"/>
          <w:sz w:val="28"/>
          <w:szCs w:val="28"/>
        </w:rPr>
        <w:t>на июнь 2021 года</w:t>
      </w:r>
      <w:r>
        <w:rPr>
          <w:sz w:val="28"/>
          <w:szCs w:val="28"/>
        </w:rPr>
        <w:t xml:space="preserve">, ЕДИНИЦ </w:t>
      </w:r>
    </w:p>
    <w:p>
      <w:pPr>
        <w:pStyle w:val="Normal"/>
        <w:rPr>
          <w:sz w:val="28"/>
          <w:szCs w:val="28"/>
        </w:rPr>
      </w:pPr>
      <w:r>
        <w:rPr>
          <w:i/>
        </w:rPr>
        <w:t>(все магазины и ТЦ на территории региона, в торговом зале которых есть прилавки/стеллажи с книгами. Это могут быть и книжные магазины, и магазины детских товаров, и АШАН, Пятерочка и пр. То есть абсолютно все объекты торговли, где книги продают):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книжных магазинов (не менее 50% торговой площади занято книгами),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Style19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киосков </w:t>
      </w:r>
      <w:r>
        <w:rPr>
          <w:sz w:val="28"/>
          <w:szCs w:val="28"/>
          <w:u w:val="single"/>
        </w:rPr>
        <w:t>печатной продукции,</w:t>
      </w:r>
      <w:r>
        <w:rPr>
          <w:sz w:val="28"/>
          <w:szCs w:val="28"/>
        </w:rPr>
        <w:t xml:space="preserve"> ЕДИНИЦ</w:t>
      </w:r>
    </w:p>
    <w:p>
      <w:pPr>
        <w:pStyle w:val="Style19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Style19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2.2. Количество мероприятий (презентации книг, встречи с писателями и т. д.), проведенных книжными магазинами в рамках общегородских/областных мероприятий, ЕДИНИЦ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22" w:type="dxa"/>
        <w:jc w:val="left"/>
        <w:tblInd w:w="-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522"/>
      </w:tblGrid>
      <w:tr>
        <w:trPr/>
        <w:tc>
          <w:tcPr>
            <w:tcW w:w="10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ind w:left="1418" w:hanging="0"/>
              <w:rPr/>
            </w:pPr>
            <w:r>
              <w:rPr/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jc w:val="center"/>
              <w:rPr>
                <w:b/>
                <w:b/>
                <w:bCs/>
                <w:color w:val="004586"/>
                <w:sz w:val="28"/>
                <w:szCs w:val="28"/>
              </w:rPr>
            </w:pPr>
            <w:r>
              <w:rPr>
                <w:b/>
                <w:bCs/>
                <w:color w:val="004586"/>
                <w:sz w:val="28"/>
                <w:szCs w:val="28"/>
              </w:rPr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>
                <w:b/>
                <w:bCs/>
                <w:color w:val="2F5496"/>
                <w:sz w:val="32"/>
                <w:szCs w:val="32"/>
                <w:lang w:val="en-US"/>
              </w:rPr>
              <w:t>II</w:t>
            </w:r>
            <w:r>
              <w:rPr>
                <w:b/>
                <w:bCs/>
                <w:color w:val="2F5496"/>
                <w:sz w:val="32"/>
                <w:szCs w:val="32"/>
              </w:rPr>
              <w:t>. Литературная жизнь и литературные традиции региона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Количество литературных (в т.ч. книжных) праздников и фестивалей, проведенных при поддержке администрации (муниципального и регионального уровня) </w:t>
      </w:r>
      <w:r>
        <w:rPr>
          <w:b w:val="false"/>
          <w:bCs w:val="false"/>
          <w:sz w:val="28"/>
          <w:szCs w:val="28"/>
        </w:rPr>
        <w:t>за 2020/2021 гг.,</w:t>
      </w:r>
      <w:r>
        <w:rPr>
          <w:sz w:val="28"/>
          <w:szCs w:val="28"/>
        </w:rPr>
        <w:t xml:space="preserve"> ЕДИНИЦ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Количество региональных премий и наград, поощряющих литераторов, книги, издательства, библиотеки, литературные музеи в 2020 г.,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Количество литературных музеев, филиалов, отделов музеев, посвященных литературе и писателям (частных и государственных) на июнь 2021 г., ЕДИНИЦ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Количество литературных общественных организаций (творческих объединений, отделений творческих союзов и т.д.) и общее количество их членов на июнь 2021 г., ЕДИНИЦ/ЧЕЛОВЕК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5647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Количество печатных литературных периодических изданий </w:t>
      </w:r>
      <w:r>
        <w:rPr>
          <w:sz w:val="28"/>
          <w:szCs w:val="28"/>
        </w:rPr>
        <w:t>на конец</w:t>
      </w:r>
      <w:r>
        <w:rPr>
          <w:sz w:val="28"/>
          <w:szCs w:val="28"/>
        </w:rPr>
        <w:t xml:space="preserve"> 2020 год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а</w:t>
      </w:r>
      <w:r>
        <w:rPr>
          <w:sz w:val="28"/>
          <w:szCs w:val="28"/>
        </w:rPr>
        <w:t xml:space="preserve"> и их суммарный тираж, ЕДИНИЦ / ТЫСЯЧ ЭКЗЕМПЛЯРОВ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5647"/>
      </w:tblGrid>
      <w:tr>
        <w:trPr/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Количество собственных онлайн литературных/ книжных ресурсов в регионе по состоянию на август 2021 г. ЕДИНИЦ / САЙТ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08"/>
      </w:tblGrid>
      <w:tr>
        <w:trPr/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Количество  онлайн мероприятий по продвижению книги и чтения в регионе, проведенных в январе-декабре 2020г. и январе-августе 2021 года ЕДИНИЦ 2020 / ЕДИНИЦ 2021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60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608"/>
      </w:tblGrid>
      <w:tr>
        <w:trPr/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yle19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tLeast" w:line="100" w:before="0" w:after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hi-IN" w:bidi="hi-IN" w:val="ru-RU"/>
    </w:rPr>
  </w:style>
  <w:style w:type="character" w:styleId="DefaultParagraphFont" w:customStyle="1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Text" w:customStyle="1">
    <w:name w:val="tex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ar-SA" w:val="ru-RU" w:bidi="ar-SA"/>
    </w:rPr>
  </w:style>
  <w:style w:type="paragraph" w:styleId="ListParagraph" w:customStyle="1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  <w:lang w:eastAsia="ar-SA" w:bidi="ar-SA"/>
    </w:rPr>
  </w:style>
  <w:style w:type="paragraph" w:styleId="ConsNormal" w:customStyle="1">
    <w:name w:val="ConsNormal"/>
    <w:qFormat/>
    <w:pPr>
      <w:widowControl/>
      <w:suppressAutoHyphens w:val="true"/>
      <w:bidi w:val="0"/>
      <w:spacing w:lineRule="atLeast" w:line="100"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ar-SA" w:val="ru-RU" w:bidi="ar-SA"/>
    </w:rPr>
  </w:style>
  <w:style w:type="paragraph" w:styleId="NormalWeb" w:customStyle="1">
    <w:name w:val="Normal (Web)"/>
    <w:basedOn w:val="Normal"/>
    <w:qFormat/>
    <w:pPr>
      <w:widowControl/>
      <w:suppressAutoHyphens w:val="false"/>
      <w:spacing w:lineRule="atLeast" w:line="336"/>
    </w:pPr>
    <w:rPr>
      <w:rFonts w:eastAsia="Times New Roman" w:cs="Times New Roman"/>
      <w:sz w:val="29"/>
      <w:szCs w:val="29"/>
      <w:lang w:eastAsia="ar-SA" w:bidi="ar-SA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LibreOffice/7.0.3.1$Windows_X86_64 LibreOffice_project/d7547858d014d4cf69878db179d326fc3483e082</Application>
  <Pages>3</Pages>
  <Words>413</Words>
  <Characters>2712</Characters>
  <CharactersWithSpaces>3105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2021-03-24T12:47:00Z</dcterms:created>
  <dc:creator>Елена Соловьева</dc:creator>
  <dc:description/>
  <dc:language>ru-RU</dc:language>
  <cp:lastModifiedBy/>
  <cp:lastPrinted>2019-04-03T16:11:00Z</cp:lastPrinted>
  <dcterms:modified xsi:type="dcterms:W3CDTF">2021-04-07T19:15:57Z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